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364" w:rsidRDefault="00C63E2F" w:rsidP="0040036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6356350</wp:posOffset>
            </wp:positionH>
            <wp:positionV relativeFrom="paragraph">
              <wp:posOffset>0</wp:posOffset>
            </wp:positionV>
            <wp:extent cx="2764155" cy="935355"/>
            <wp:effectExtent l="0" t="0" r="0" b="0"/>
            <wp:wrapThrough wrapText="bothSides">
              <wp:wrapPolygon edited="0">
                <wp:start x="0" y="0"/>
                <wp:lineTo x="0" y="21116"/>
                <wp:lineTo x="21436" y="21116"/>
                <wp:lineTo x="21436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inderswohl_schutzkonzept_print CMYK@3x-1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3511">
        <w:rPr>
          <w:rFonts w:ascii="Arial" w:hAnsi="Arial" w:cs="Arial"/>
          <w:b/>
        </w:rPr>
        <w:t xml:space="preserve">       </w:t>
      </w:r>
    </w:p>
    <w:p w:rsidR="00400364" w:rsidRDefault="00B23511" w:rsidP="00400364">
      <w:pPr>
        <w:spacing w:after="0" w:line="240" w:lineRule="aut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63E2F" w:rsidRDefault="00C63E2F" w:rsidP="00400364">
      <w:pPr>
        <w:spacing w:after="0" w:line="240" w:lineRule="auto"/>
        <w:ind w:firstLine="708"/>
        <w:rPr>
          <w:rFonts w:ascii="Arial" w:hAnsi="Arial" w:cs="Arial"/>
          <w:b/>
        </w:rPr>
      </w:pPr>
    </w:p>
    <w:p w:rsidR="00C63E2F" w:rsidRDefault="00C63E2F" w:rsidP="00400364">
      <w:pPr>
        <w:spacing w:after="0" w:line="240" w:lineRule="auto"/>
        <w:ind w:firstLine="708"/>
        <w:rPr>
          <w:rFonts w:ascii="Arial" w:hAnsi="Arial" w:cs="Arial"/>
          <w:b/>
        </w:rPr>
      </w:pPr>
    </w:p>
    <w:p w:rsidR="00C63E2F" w:rsidRDefault="00C63E2F" w:rsidP="00400364">
      <w:pPr>
        <w:spacing w:after="0" w:line="240" w:lineRule="auto"/>
        <w:ind w:firstLine="708"/>
        <w:rPr>
          <w:rFonts w:ascii="Arial" w:hAnsi="Arial" w:cs="Arial"/>
          <w:b/>
        </w:rPr>
      </w:pPr>
    </w:p>
    <w:p w:rsidR="00C63E2F" w:rsidRDefault="00C63E2F" w:rsidP="00400364">
      <w:pPr>
        <w:spacing w:after="0" w:line="240" w:lineRule="auto"/>
        <w:ind w:firstLine="708"/>
        <w:rPr>
          <w:rFonts w:ascii="Arial" w:hAnsi="Arial" w:cs="Arial"/>
          <w:b/>
        </w:rPr>
      </w:pPr>
    </w:p>
    <w:p w:rsidR="00B23511" w:rsidRPr="001661DB" w:rsidRDefault="00C45C02" w:rsidP="00400364">
      <w:pPr>
        <w:spacing w:after="0" w:line="240" w:lineRule="aut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Bausteinmodell Schutzkonzept </w:t>
      </w:r>
      <w:r w:rsidR="00B23511" w:rsidRPr="00D915E5">
        <w:rPr>
          <w:rFonts w:ascii="Arial" w:hAnsi="Arial" w:cs="Arial"/>
          <w:b/>
        </w:rPr>
        <w:t>für Fachverbände</w:t>
      </w:r>
      <w:r>
        <w:rPr>
          <w:rFonts w:ascii="Arial" w:hAnsi="Arial" w:cs="Arial"/>
          <w:b/>
        </w:rPr>
        <w:t xml:space="preserve"> (</w:t>
      </w:r>
      <w:r w:rsidR="003E09C9">
        <w:rPr>
          <w:rFonts w:ascii="Arial" w:hAnsi="Arial" w:cs="Arial"/>
          <w:b/>
        </w:rPr>
        <w:t>20</w:t>
      </w:r>
      <w:bookmarkStart w:id="0" w:name="_GoBack"/>
      <w:bookmarkEnd w:id="0"/>
      <w:r w:rsidR="003E09C9">
        <w:rPr>
          <w:rFonts w:ascii="Arial" w:hAnsi="Arial" w:cs="Arial"/>
          <w:b/>
        </w:rPr>
        <w:t>23</w:t>
      </w:r>
      <w:r>
        <w:rPr>
          <w:rFonts w:ascii="Arial" w:hAnsi="Arial" w:cs="Arial"/>
          <w:b/>
        </w:rPr>
        <w:t>)</w:t>
      </w:r>
    </w:p>
    <w:tbl>
      <w:tblPr>
        <w:tblStyle w:val="Tabellenraster1"/>
        <w:tblW w:w="1375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7655"/>
        <w:gridCol w:w="992"/>
        <w:gridCol w:w="992"/>
        <w:gridCol w:w="1134"/>
      </w:tblGrid>
      <w:tr w:rsidR="00C63E2F" w:rsidRPr="00950771" w:rsidTr="00C63E2F">
        <w:trPr>
          <w:cantSplit/>
          <w:trHeight w:val="1448"/>
          <w:tblHeader/>
        </w:trPr>
        <w:tc>
          <w:tcPr>
            <w:tcW w:w="426" w:type="dxa"/>
            <w:textDirection w:val="btLr"/>
          </w:tcPr>
          <w:p w:rsidR="00C63E2F" w:rsidRPr="00E605CE" w:rsidRDefault="00C63E2F" w:rsidP="00986C12">
            <w:pPr>
              <w:ind w:left="113" w:right="113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Baustein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3E2F" w:rsidRPr="009E5C9F" w:rsidRDefault="00C63E2F" w:rsidP="009E5C9F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9E5C9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Maßnahmen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C63E2F" w:rsidRPr="009E5C9F" w:rsidRDefault="00C63E2F" w:rsidP="009E5C9F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9E5C9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Handlungsschritte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E2F" w:rsidRPr="00870F31" w:rsidRDefault="00C63E2F" w:rsidP="007864C1">
            <w:pPr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  <w:t>Umge</w:t>
            </w:r>
            <w:r w:rsidRPr="00870F31"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  <w:t>setzt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  <w:t xml:space="preserve"> </w:t>
            </w:r>
            <w:r w:rsidRPr="00870F31"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  <w:t xml:space="preserve">/ </w:t>
            </w:r>
            <w:proofErr w:type="spellStart"/>
            <w:r w:rsidRPr="00870F31"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  <w:t>abge</w:t>
            </w:r>
            <w:proofErr w:type="spellEnd"/>
            <w:r w:rsidRPr="00870F31"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  <w:t>-schlossen? (Ja/Nein, Datum)</w:t>
            </w:r>
          </w:p>
        </w:tc>
        <w:tc>
          <w:tcPr>
            <w:tcW w:w="992" w:type="dxa"/>
            <w:vAlign w:val="center"/>
          </w:tcPr>
          <w:p w:rsidR="00C63E2F" w:rsidRPr="00870F31" w:rsidRDefault="00C63E2F" w:rsidP="007864C1">
            <w:pPr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</w:pPr>
            <w:r w:rsidRPr="00870F31"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  <w:t>in Arbeit (aktueller Stand, geplant bis (Datum)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3E2F" w:rsidRPr="00870F31" w:rsidRDefault="00C63E2F" w:rsidP="007864C1">
            <w:pPr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</w:pPr>
            <w:r w:rsidRPr="00870F31"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  <w:t>Dokument/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  <w:t xml:space="preserve"> </w:t>
            </w:r>
            <w:r w:rsidRPr="00870F31"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  <w:t>Nachweis liegt vor (Name des Dokuments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  <w:t>, Link</w:t>
            </w:r>
            <w:r w:rsidRPr="00870F31"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  <w:t>)</w:t>
            </w:r>
          </w:p>
        </w:tc>
      </w:tr>
      <w:tr w:rsidR="00C63E2F" w:rsidRPr="00950771" w:rsidTr="00C63E2F">
        <w:tc>
          <w:tcPr>
            <w:tcW w:w="426" w:type="dxa"/>
            <w:vMerge w:val="restart"/>
            <w:shd w:val="clear" w:color="auto" w:fill="F2DBDB" w:themeFill="accent2" w:themeFillTint="33"/>
          </w:tcPr>
          <w:p w:rsidR="00C63E2F" w:rsidRPr="00E605CE" w:rsidRDefault="00C63E2F" w:rsidP="00725CA3">
            <w:pPr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2551" w:type="dxa"/>
            <w:vMerge w:val="restart"/>
            <w:shd w:val="clear" w:color="auto" w:fill="F2DBDB" w:themeFill="accent2" w:themeFillTint="33"/>
          </w:tcPr>
          <w:p w:rsidR="00C63E2F" w:rsidRPr="00E605CE" w:rsidRDefault="00C63E2F" w:rsidP="00725CA3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Positionierung und Verankerung</w:t>
            </w:r>
          </w:p>
        </w:tc>
        <w:tc>
          <w:tcPr>
            <w:tcW w:w="7655" w:type="dxa"/>
            <w:shd w:val="clear" w:color="auto" w:fill="F2DBDB" w:themeFill="accent2" w:themeFillTint="33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Der Verband/ die Verbandsführung hat einen Beschluss für ein Präventionskonzept zum Schutz von Kindern und Jugendlichen vor allen Formen von Gewalt verabschiedet.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C63E2F" w:rsidRPr="00E605CE" w:rsidRDefault="00C63E2F" w:rsidP="007F296A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C63E2F" w:rsidRPr="00E605CE" w:rsidRDefault="00C63E2F" w:rsidP="007F296A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C63E2F" w:rsidRPr="00E605CE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vMerge/>
            <w:shd w:val="clear" w:color="auto" w:fill="F2DBDB" w:themeFill="accent2" w:themeFillTint="33"/>
          </w:tcPr>
          <w:p w:rsidR="00C63E2F" w:rsidRPr="00E605CE" w:rsidRDefault="00C63E2F" w:rsidP="00725CA3">
            <w:pPr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551" w:type="dxa"/>
            <w:vMerge/>
            <w:shd w:val="clear" w:color="auto" w:fill="F2DBDB" w:themeFill="accent2" w:themeFillTint="33"/>
          </w:tcPr>
          <w:p w:rsidR="00C63E2F" w:rsidRPr="00E605CE" w:rsidRDefault="00C63E2F" w:rsidP="00725CA3">
            <w:pPr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7655" w:type="dxa"/>
            <w:shd w:val="clear" w:color="auto" w:fill="F2DBDB" w:themeFill="accent2" w:themeFillTint="33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Die Prävention von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allen Formen von Gewalt im Kinder- und Jugendbereich 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wird im Aufgabenportfolio der Verbandsführung verankert und an eine geeignete Position im Vorstand oder Präsidium angebunden.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C63E2F" w:rsidRPr="00E605CE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C63E2F" w:rsidRPr="00E605CE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C63E2F" w:rsidRPr="00E605CE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vMerge w:val="restart"/>
            <w:shd w:val="clear" w:color="auto" w:fill="F2DBDB" w:themeFill="accent2" w:themeFillTint="33"/>
          </w:tcPr>
          <w:p w:rsidR="00C63E2F" w:rsidRPr="00E605CE" w:rsidRDefault="00C63E2F" w:rsidP="00725CA3">
            <w:pPr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2551" w:type="dxa"/>
            <w:vMerge w:val="restart"/>
            <w:shd w:val="clear" w:color="auto" w:fill="F2DBDB" w:themeFill="accent2" w:themeFillTint="33"/>
          </w:tcPr>
          <w:p w:rsidR="00C63E2F" w:rsidRPr="001F7166" w:rsidRDefault="00C63E2F" w:rsidP="00725CA3">
            <w:pPr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1F7166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Ansprechpartner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*</w:t>
            </w:r>
            <w:r w:rsidRPr="001F7166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 xml:space="preserve">innen </w:t>
            </w:r>
          </w:p>
          <w:p w:rsidR="00C63E2F" w:rsidRPr="001F7166" w:rsidRDefault="00C63E2F" w:rsidP="00725CA3">
            <w:pP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655" w:type="dxa"/>
            <w:shd w:val="clear" w:color="auto" w:fill="F2DBDB" w:themeFill="accent2" w:themeFillTint="33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Es wurde per Beschluss der Verbandsführung eine geeignete Person – möglichst sogar zwei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Personen unterschiedlichen Geschlechts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–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verbindlich als Ansprechpartner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*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in für das Themenfeld benannt. 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C63E2F" w:rsidRPr="007F296A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C63E2F" w:rsidRPr="007F296A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C63E2F" w:rsidRPr="007F296A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vMerge/>
            <w:shd w:val="clear" w:color="auto" w:fill="F2DBDB" w:themeFill="accent2" w:themeFillTint="33"/>
          </w:tcPr>
          <w:p w:rsidR="00C63E2F" w:rsidRPr="00E605CE" w:rsidRDefault="00C63E2F" w:rsidP="00725CA3">
            <w:pPr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551" w:type="dxa"/>
            <w:vMerge/>
            <w:shd w:val="clear" w:color="auto" w:fill="F2DBDB" w:themeFill="accent2" w:themeFillTint="33"/>
          </w:tcPr>
          <w:p w:rsidR="00C63E2F" w:rsidRPr="001F7166" w:rsidRDefault="00C63E2F" w:rsidP="00725CA3">
            <w:pPr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655" w:type="dxa"/>
            <w:shd w:val="clear" w:color="auto" w:fill="F2DBDB" w:themeFill="accent2" w:themeFillTint="33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Das Kompetenz- und Aufgabenprofil der Ansprechpartner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*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innen wurde schriftlich entwickelt und vereinbart.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C63E2F" w:rsidRPr="007F296A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C63E2F" w:rsidRPr="007F296A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C63E2F" w:rsidRPr="007F296A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vMerge/>
            <w:shd w:val="clear" w:color="auto" w:fill="F2DBDB" w:themeFill="accent2" w:themeFillTint="33"/>
          </w:tcPr>
          <w:p w:rsidR="00C63E2F" w:rsidRPr="00E605CE" w:rsidRDefault="00C63E2F" w:rsidP="00725CA3">
            <w:pPr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551" w:type="dxa"/>
            <w:vMerge/>
            <w:shd w:val="clear" w:color="auto" w:fill="F2DBDB" w:themeFill="accent2" w:themeFillTint="33"/>
          </w:tcPr>
          <w:p w:rsidR="00C63E2F" w:rsidRPr="001F7166" w:rsidRDefault="00C63E2F" w:rsidP="00725CA3">
            <w:pPr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655" w:type="dxa"/>
            <w:shd w:val="clear" w:color="auto" w:fill="F2DBDB" w:themeFill="accent2" w:themeFillTint="33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Die Kontaktdaten der Ansprechpartner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*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innen sind auf der Verbandshomepage veröffentlicht.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C63E2F" w:rsidRPr="007F296A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C63E2F" w:rsidRPr="007F296A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C63E2F" w:rsidRPr="007F296A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vMerge/>
            <w:shd w:val="clear" w:color="auto" w:fill="F2DBDB" w:themeFill="accent2" w:themeFillTint="33"/>
          </w:tcPr>
          <w:p w:rsidR="00C63E2F" w:rsidRPr="00E605CE" w:rsidRDefault="00C63E2F" w:rsidP="00725CA3">
            <w:pPr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551" w:type="dxa"/>
            <w:vMerge/>
            <w:shd w:val="clear" w:color="auto" w:fill="F2DBDB" w:themeFill="accent2" w:themeFillTint="33"/>
          </w:tcPr>
          <w:p w:rsidR="00C63E2F" w:rsidRPr="001F7166" w:rsidRDefault="00C63E2F" w:rsidP="00725CA3">
            <w:pPr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655" w:type="dxa"/>
            <w:shd w:val="clear" w:color="auto" w:fill="F2DBDB" w:themeFill="accent2" w:themeFillTint="33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Die Ansprechpartner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*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innen haben an einer eintägigen Schulung bzw. Austauschtreffen für Ansprechpersonen (z.B. der Sportjugend Hessen) teilgenommen.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C63E2F" w:rsidRPr="007F296A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C63E2F" w:rsidRPr="007F296A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C63E2F" w:rsidRPr="007F296A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vMerge w:val="restart"/>
            <w:shd w:val="clear" w:color="auto" w:fill="FDE9D9" w:themeFill="accent6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C</w:t>
            </w:r>
          </w:p>
        </w:tc>
        <w:tc>
          <w:tcPr>
            <w:tcW w:w="2551" w:type="dxa"/>
            <w:vMerge w:val="restart"/>
            <w:shd w:val="clear" w:color="auto" w:fill="FDE9D9" w:themeFill="accent6" w:themeFillTint="33"/>
          </w:tcPr>
          <w:p w:rsidR="00C63E2F" w:rsidRDefault="00C63E2F" w:rsidP="00C93B5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Eignung von</w:t>
            </w:r>
          </w:p>
          <w:p w:rsidR="00C63E2F" w:rsidRPr="00E605CE" w:rsidRDefault="00C63E2F" w:rsidP="00C93B59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Mi</w:t>
            </w:r>
            <w:r w:rsidRPr="00E605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tarbeiter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*</w:t>
            </w:r>
            <w:r w:rsidRPr="00E605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innen </w:t>
            </w:r>
          </w:p>
        </w:tc>
        <w:tc>
          <w:tcPr>
            <w:tcW w:w="7655" w:type="dxa"/>
            <w:shd w:val="clear" w:color="auto" w:fill="FDE9D9" w:themeFill="accent6" w:themeFillTint="33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Die </w:t>
            </w:r>
            <w:r w:rsidRPr="003E09C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haupt-, nebenberuflichen und ehrenamtlichen Mitarbeitenden des Verbands, die im Kinder- und Jugendsport tätig sind, 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haben eine Selbstverpflichtungserklärung (z.B. Ehrenkodex/Verhaltenskodex) unterzeichnet.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C63E2F" w:rsidRPr="00E605CE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C63E2F" w:rsidRPr="00E605CE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C63E2F" w:rsidRPr="00E605CE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vMerge/>
            <w:shd w:val="clear" w:color="auto" w:fill="FDE9D9" w:themeFill="accent6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551" w:type="dxa"/>
            <w:vMerge/>
            <w:shd w:val="clear" w:color="auto" w:fill="FDE9D9" w:themeFill="accent6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7655" w:type="dxa"/>
            <w:shd w:val="clear" w:color="auto" w:fill="FDE9D9" w:themeFill="accent6" w:themeFillTint="33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Bei</w:t>
            </w:r>
            <w:r w:rsidRPr="003E09C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 haupt-, nebenberuflichen und ehrenamtlichen Mitarbeitenden, die im Auftrag des Verbands Kinder und Jugendliche betreuen, wird gemäß §72a Abs. 2 u. 4 SGB VIII verfahren. (= Erweitertes Führungszeugnis) 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C63E2F" w:rsidRPr="00E605CE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C63E2F" w:rsidRPr="00E605CE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C63E2F" w:rsidRPr="00E605CE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vMerge/>
            <w:shd w:val="clear" w:color="auto" w:fill="FDE9D9" w:themeFill="accent6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551" w:type="dxa"/>
            <w:vMerge/>
            <w:shd w:val="clear" w:color="auto" w:fill="FDE9D9" w:themeFill="accent6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7655" w:type="dxa"/>
            <w:shd w:val="clear" w:color="auto" w:fill="FDE9D9" w:themeFill="accent6" w:themeFillTint="33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Bereits bei der Rekrutierung und Einstellung von Personal (v.a. der hauptamtlichen Trainer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*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innen) wird die Prävention von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allen Formen von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Gewalt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im Kinder- und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lastRenderedPageBreak/>
              <w:t>Jugendbereich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berücksichtigt (z.B. Verankerung in Arbeitsverträgen, Inhalt von Bewerbungs-/Einstellungsgesprächen).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C63E2F" w:rsidRPr="00E605CE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C63E2F" w:rsidRPr="00E605CE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C63E2F" w:rsidRPr="00E605CE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shd w:val="clear" w:color="auto" w:fill="FDE9D9" w:themeFill="accent6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D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C63E2F" w:rsidRPr="001F7166" w:rsidRDefault="00C63E2F" w:rsidP="00725CA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1F71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Qualifizierung des eigenen Verbandspersonals</w:t>
            </w:r>
          </w:p>
        </w:tc>
        <w:tc>
          <w:tcPr>
            <w:tcW w:w="7655" w:type="dxa"/>
            <w:shd w:val="clear" w:color="auto" w:fill="FDE9D9" w:themeFill="accent6" w:themeFillTint="33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Die </w:t>
            </w:r>
            <w:r w:rsidRPr="003E09C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haupt-, nebenberuflichen und ehrenamtlichen Mitarbeitenden und Trainer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*</w:t>
            </w:r>
            <w:r w:rsidRPr="003E09C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innen des Verbands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, </w:t>
            </w:r>
            <w:r w:rsidRPr="003E09C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die Kinder und Jugendliche in verbandseigenen Maßnahmen betreuen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, werden verbindlich im Themenfeld qualifiziert. 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C63E2F" w:rsidRPr="00E605CE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C63E2F" w:rsidRPr="00E605CE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C63E2F" w:rsidRPr="00E605CE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shd w:val="clear" w:color="auto" w:fill="C6D9F1" w:themeFill="text2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E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Satzung &amp; Ordnungen*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Die Satzung* enthält eine Passage, in der sich der Verband gegen jede Form von Gewalt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insbesondere im Kinder- und Jugendbereich 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ausspricht.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C63E2F" w:rsidRPr="00E605CE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C63E2F" w:rsidRPr="00E605CE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C63E2F" w:rsidRPr="00E605CE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vMerge w:val="restart"/>
            <w:shd w:val="clear" w:color="auto" w:fill="C6D9F1" w:themeFill="text2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2551" w:type="dxa"/>
            <w:vMerge w:val="restart"/>
            <w:shd w:val="clear" w:color="auto" w:fill="C6D9F1" w:themeFill="text2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Lizenzerwerb*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C63E2F" w:rsidRPr="003E09C9" w:rsidRDefault="00C63E2F" w:rsidP="00725CA3">
            <w:pPr>
              <w:rPr>
                <w:rFonts w:ascii="Arial" w:hAnsi="Arial" w:cs="Arial"/>
                <w:sz w:val="18"/>
                <w:szCs w:val="18"/>
              </w:rPr>
            </w:pPr>
            <w:r w:rsidRPr="003E09C9">
              <w:rPr>
                <w:rFonts w:ascii="Arial" w:hAnsi="Arial" w:cs="Arial"/>
                <w:sz w:val="18"/>
                <w:szCs w:val="18"/>
              </w:rPr>
              <w:t>Die Inhalte zur geschlechter-, alters- und zielgruppengerechten Prävention von</w:t>
            </w:r>
            <w:r>
              <w:rPr>
                <w:rFonts w:ascii="Arial" w:hAnsi="Arial" w:cs="Arial"/>
                <w:sz w:val="18"/>
                <w:szCs w:val="18"/>
              </w:rPr>
              <w:t xml:space="preserve"> allen Formen von</w:t>
            </w:r>
            <w:r w:rsidRPr="003E09C9">
              <w:rPr>
                <w:rFonts w:ascii="Arial" w:hAnsi="Arial" w:cs="Arial"/>
                <w:sz w:val="18"/>
                <w:szCs w:val="18"/>
              </w:rPr>
              <w:t xml:space="preserve"> Gewalt </w:t>
            </w:r>
            <w:r>
              <w:rPr>
                <w:rFonts w:ascii="Arial" w:hAnsi="Arial" w:cs="Arial"/>
                <w:sz w:val="18"/>
                <w:szCs w:val="18"/>
              </w:rPr>
              <w:t xml:space="preserve">im Kinder- und Jugendbereich </w:t>
            </w:r>
            <w:r w:rsidRPr="003E09C9">
              <w:rPr>
                <w:rFonts w:ascii="Arial" w:hAnsi="Arial" w:cs="Arial"/>
                <w:sz w:val="18"/>
                <w:szCs w:val="18"/>
              </w:rPr>
              <w:t>sind in die Ausbildungs-, Fort- und Weiterbildungskonzeptionen des Verbandes, entsprechend den DOSB-Rahmenrichtlinien, integriert.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C63E2F" w:rsidRPr="007F296A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C63E2F" w:rsidRPr="007F296A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C63E2F" w:rsidRPr="007F296A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vMerge/>
            <w:shd w:val="clear" w:color="auto" w:fill="C6D9F1" w:themeFill="text2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551" w:type="dxa"/>
            <w:vMerge/>
            <w:shd w:val="clear" w:color="auto" w:fill="C6D9F1" w:themeFill="text2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7655" w:type="dxa"/>
            <w:shd w:val="clear" w:color="auto" w:fill="C6D9F1" w:themeFill="text2" w:themeFillTint="33"/>
          </w:tcPr>
          <w:p w:rsidR="00C63E2F" w:rsidRPr="003E09C9" w:rsidRDefault="00C63E2F" w:rsidP="00725CA3">
            <w:pPr>
              <w:rPr>
                <w:rFonts w:ascii="Arial" w:hAnsi="Arial" w:cs="Arial"/>
                <w:sz w:val="18"/>
                <w:szCs w:val="18"/>
              </w:rPr>
            </w:pPr>
            <w:r w:rsidRPr="003E09C9">
              <w:rPr>
                <w:rFonts w:ascii="Arial" w:hAnsi="Arial" w:cs="Arial"/>
                <w:sz w:val="18"/>
                <w:szCs w:val="18"/>
              </w:rPr>
              <w:t>Es wird sichergestellt, dass mit der Vergabe neuer Lizenzen und bei der Verlängerung von Lizenzen eine Selbstverpflichtung (z.B. Ehrenkodex/ Verhaltenskodex) unterschrieben wird.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C63E2F" w:rsidRPr="007F296A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C63E2F" w:rsidRPr="007F296A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C63E2F" w:rsidRPr="007F296A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shd w:val="clear" w:color="auto" w:fill="C6D9F1" w:themeFill="text2" w:themeFillTint="33"/>
          </w:tcPr>
          <w:p w:rsidR="00C63E2F" w:rsidRPr="00E605CE" w:rsidRDefault="00C63E2F" w:rsidP="00725CA3">
            <w:pPr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:rsidR="00C63E2F" w:rsidRPr="00E605CE" w:rsidRDefault="00C63E2F" w:rsidP="00725CA3">
            <w:pPr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Lizenzentzug bzw. Ausschlussmöglichkeiten*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C63E2F" w:rsidRPr="003E09C9" w:rsidRDefault="00C63E2F" w:rsidP="00725CA3">
            <w:pPr>
              <w:rPr>
                <w:rFonts w:ascii="Arial" w:hAnsi="Arial" w:cs="Arial"/>
                <w:sz w:val="18"/>
                <w:szCs w:val="18"/>
              </w:rPr>
            </w:pPr>
            <w:r w:rsidRPr="003E09C9">
              <w:rPr>
                <w:rFonts w:ascii="Arial" w:hAnsi="Arial" w:cs="Arial"/>
                <w:sz w:val="18"/>
                <w:szCs w:val="18"/>
              </w:rPr>
              <w:t>Es gibt Bedingungen zum Entzug von Lizenzen für Übungs- und Jugendleiter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3E09C9">
              <w:rPr>
                <w:rFonts w:ascii="Arial" w:hAnsi="Arial" w:cs="Arial"/>
                <w:sz w:val="18"/>
                <w:szCs w:val="18"/>
              </w:rPr>
              <w:t>innen, Trainer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3E09C9">
              <w:rPr>
                <w:rFonts w:ascii="Arial" w:hAnsi="Arial" w:cs="Arial"/>
                <w:sz w:val="18"/>
                <w:szCs w:val="18"/>
              </w:rPr>
              <w:t>innen sowie Kampfrichter- und Schiedsrichter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3E09C9">
              <w:rPr>
                <w:rFonts w:ascii="Arial" w:hAnsi="Arial" w:cs="Arial"/>
                <w:sz w:val="18"/>
                <w:szCs w:val="18"/>
              </w:rPr>
              <w:t xml:space="preserve">innen auf der Grundlage der DOSB-Rahmenrichtlinien bzw. bei Tätigen ohne Lizenz zum Ausschluss aus dem Verband. 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C63E2F" w:rsidRPr="007F296A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C63E2F" w:rsidRPr="007F296A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C63E2F" w:rsidRPr="007F296A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shd w:val="clear" w:color="auto" w:fill="FFFFCC"/>
          </w:tcPr>
          <w:p w:rsidR="00C63E2F" w:rsidRPr="00E605CE" w:rsidRDefault="00C63E2F" w:rsidP="00725CA3">
            <w:pPr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H</w:t>
            </w:r>
          </w:p>
        </w:tc>
        <w:tc>
          <w:tcPr>
            <w:tcW w:w="2551" w:type="dxa"/>
            <w:shd w:val="clear" w:color="auto" w:fill="FFFFCC"/>
          </w:tcPr>
          <w:p w:rsidR="00C63E2F" w:rsidRPr="00E605CE" w:rsidRDefault="00C63E2F" w:rsidP="00725CA3">
            <w:pPr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Interventionsleitfaden</w:t>
            </w:r>
          </w:p>
        </w:tc>
        <w:tc>
          <w:tcPr>
            <w:tcW w:w="7655" w:type="dxa"/>
            <w:shd w:val="clear" w:color="auto" w:fill="FFFFCC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Es sind Standards (z.B. Leitlinien, Interventionsplan) für die Gestaltung des Krisenmanagements bei Verdachts- und konkreten Vorfällen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im Zusammenhang mit allen Formen von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Gewalt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im Kinder- und Jugendbereich 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entwickelt und verschriftlicht worden.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C63E2F" w:rsidRPr="00E605CE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:rsidR="00C63E2F" w:rsidRPr="00E605CE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FFFFCC"/>
          </w:tcPr>
          <w:p w:rsidR="00C63E2F" w:rsidRPr="00E605CE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vMerge w:val="restart"/>
            <w:shd w:val="clear" w:color="auto" w:fill="FFFFCC"/>
          </w:tcPr>
          <w:p w:rsidR="00C63E2F" w:rsidRPr="00E605CE" w:rsidRDefault="00C63E2F" w:rsidP="00725CA3">
            <w:pPr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I</w:t>
            </w:r>
          </w:p>
        </w:tc>
        <w:tc>
          <w:tcPr>
            <w:tcW w:w="2551" w:type="dxa"/>
            <w:vMerge w:val="restart"/>
            <w:shd w:val="clear" w:color="auto" w:fill="FFFFCC"/>
          </w:tcPr>
          <w:p w:rsidR="00C63E2F" w:rsidRPr="00E605CE" w:rsidRDefault="00C63E2F" w:rsidP="00725CA3">
            <w:pPr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Beschwerdemanagement</w:t>
            </w:r>
          </w:p>
          <w:p w:rsidR="00C63E2F" w:rsidRPr="00E605CE" w:rsidRDefault="00C63E2F" w:rsidP="00725CA3">
            <w:pPr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655" w:type="dxa"/>
            <w:shd w:val="clear" w:color="auto" w:fill="FFFFCC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Es sind interne und externe Anlaufstellen für Betroffene benannt und diese werden an die Teilnehmenden von </w:t>
            </w:r>
            <w:r w:rsidRPr="003E09C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verbandseigenen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Maßnahmen kommuniziert.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C63E2F" w:rsidRPr="00E605CE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:rsidR="00C63E2F" w:rsidRPr="00E605CE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FFFFCC"/>
          </w:tcPr>
          <w:p w:rsidR="00C63E2F" w:rsidRPr="00E605CE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vMerge/>
            <w:shd w:val="clear" w:color="auto" w:fill="FFFFCC"/>
          </w:tcPr>
          <w:p w:rsidR="00C63E2F" w:rsidRPr="00E605CE" w:rsidRDefault="00C63E2F" w:rsidP="00725CA3">
            <w:pPr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551" w:type="dxa"/>
            <w:vMerge/>
            <w:shd w:val="clear" w:color="auto" w:fill="FFFFCC"/>
          </w:tcPr>
          <w:p w:rsidR="00C63E2F" w:rsidRPr="00E605CE" w:rsidRDefault="00C63E2F" w:rsidP="00725CA3">
            <w:pPr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655" w:type="dxa"/>
            <w:shd w:val="clear" w:color="auto" w:fill="FFFFCC"/>
          </w:tcPr>
          <w:p w:rsidR="00C63E2F" w:rsidRPr="003E09C9" w:rsidRDefault="00C63E2F" w:rsidP="005D53E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Bei verbandseigenen Maßnahmen werden anonymisierte Evaluationen zum Wohlbefinden der Teilnehmenden durchgeführt.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C63E2F" w:rsidRPr="00E605CE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:rsidR="00C63E2F" w:rsidRPr="00E605CE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FFFFCC"/>
          </w:tcPr>
          <w:p w:rsidR="00C63E2F" w:rsidRPr="00E605CE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shd w:val="clear" w:color="auto" w:fill="EAF1DD" w:themeFill="accent3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J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 xml:space="preserve">Risikoanalyse </w:t>
            </w:r>
          </w:p>
        </w:tc>
        <w:tc>
          <w:tcPr>
            <w:tcW w:w="7655" w:type="dxa"/>
            <w:shd w:val="clear" w:color="auto" w:fill="EAF1DD" w:themeFill="accent3" w:themeFillTint="33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Es liegt eine Risikoanalyse vor, die die sportart- und organisationsspezifischen Bedingungen beschreibt, die die Ausübung von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allen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Gewalt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formen im Kinder- und Jugendbereich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begünstigen könnten.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C63E2F" w:rsidRPr="00E605CE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C63E2F" w:rsidRPr="00E605CE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C63E2F" w:rsidRPr="00E605CE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shd w:val="clear" w:color="auto" w:fill="EAF1DD" w:themeFill="accent3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lastRenderedPageBreak/>
              <w:t>K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Verhaltensregeln</w:t>
            </w:r>
          </w:p>
        </w:tc>
        <w:tc>
          <w:tcPr>
            <w:tcW w:w="7655" w:type="dxa"/>
            <w:shd w:val="clear" w:color="auto" w:fill="EAF1DD" w:themeFill="accent3" w:themeFillTint="33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Es wurden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Verhaltensregeln zum Umgang mit Nähe und Distanz zwischen Erwachsenen und Minderjährigen sowie innerhalb der Gruppe der Kinder und Jugendlichen entwickelt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(z.B. bzgl. Körperkontakt, Umkleidesituationen, Trainingslager).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C63E2F" w:rsidRPr="00E605CE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C63E2F" w:rsidRPr="00E605CE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C63E2F" w:rsidRPr="00E605CE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07042A" w:rsidTr="00C63E2F">
        <w:tc>
          <w:tcPr>
            <w:tcW w:w="42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Partizipation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Es werden alle Beteiligten in die Präventionsentwicklung (z.B. Entwicklung von Verhaltensregeln) altersgerecht einbezogen, insbesondere die Trainer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*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innen und Betreuungspersonen sowie die Kinder, Jugendlichen, Eltern und Betroffenen.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C63E2F" w:rsidRPr="007F296A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C63E2F" w:rsidRPr="007F296A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63E2F" w:rsidRPr="007F296A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950771" w:rsidTr="00C63E2F">
        <w:tc>
          <w:tcPr>
            <w:tcW w:w="426" w:type="dxa"/>
            <w:shd w:val="clear" w:color="auto" w:fill="B6DDE8" w:themeFill="accent5" w:themeFillTint="66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Angebote für Kinder und Jugendliche</w:t>
            </w:r>
          </w:p>
        </w:tc>
        <w:tc>
          <w:tcPr>
            <w:tcW w:w="7655" w:type="dxa"/>
            <w:shd w:val="clear" w:color="auto" w:fill="B6DDE8" w:themeFill="accent5" w:themeFillTint="66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Es werden zielgruppenspezifisch und diversitätssensibel (d.h. Aspekte wie Geschlecht, Alter, Flucht- bzw. Migrationshintergrund, sexuelle Orientierung und Behinderung sind berücksichtigt) gestaltete Angebote für Kinder und Jugendliche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über Grenzverletzungen und Formen von Gewalt 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(die Ängste abbauen und Wege zu Hilfe in den Vordergrund stellen) sowie zur Stärkung der Selbstbehauptung, zur Partizipation sowie zu Kinderrechten ggf. durch externe Partner (z.B. Sportjugend Hessen, pro </w:t>
            </w:r>
            <w:proofErr w:type="spellStart"/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familia</w:t>
            </w:r>
            <w:proofErr w:type="spellEnd"/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, Sportpsychologie) durchgeführt.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C63E2F" w:rsidRPr="00E605CE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C63E2F" w:rsidRPr="00E605CE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C63E2F" w:rsidRPr="00E605CE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A267A1" w:rsidTr="00C63E2F">
        <w:tc>
          <w:tcPr>
            <w:tcW w:w="426" w:type="dxa"/>
            <w:shd w:val="clear" w:color="auto" w:fill="E5DFEC" w:themeFill="accent4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N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E605C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Information und Öffentlichkeitsarbeit</w:t>
            </w:r>
          </w:p>
        </w:tc>
        <w:tc>
          <w:tcPr>
            <w:tcW w:w="7655" w:type="dxa"/>
            <w:shd w:val="clear" w:color="auto" w:fill="E5DFEC" w:themeFill="accent4" w:themeFillTint="33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Der Verband informiert seine Mitglieder (Kinder, Jugendliche, Eltern, Trainer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*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innen etc.)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regelmäßig </w:t>
            </w: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über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Präventions- und Interventionsangebote/-aktivitäten zum Thema Kindeswohl.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:rsidR="00C63E2F" w:rsidRPr="007F296A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:rsidR="00C63E2F" w:rsidRPr="007F296A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C63E2F" w:rsidRPr="007F296A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63E2F" w:rsidRPr="00A267A1" w:rsidTr="00C63E2F">
        <w:tc>
          <w:tcPr>
            <w:tcW w:w="426" w:type="dxa"/>
            <w:shd w:val="clear" w:color="auto" w:fill="DDD9C3" w:themeFill="background2" w:themeFillShade="E6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C63E2F" w:rsidRPr="00E605CE" w:rsidRDefault="00C63E2F" w:rsidP="00725CA3">
            <w:pP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Nachhaltigkeit</w:t>
            </w:r>
          </w:p>
        </w:tc>
        <w:tc>
          <w:tcPr>
            <w:tcW w:w="7655" w:type="dxa"/>
            <w:shd w:val="clear" w:color="auto" w:fill="DDD9C3" w:themeFill="background2" w:themeFillShade="E6"/>
          </w:tcPr>
          <w:p w:rsidR="00C63E2F" w:rsidRPr="003E09C9" w:rsidRDefault="00C63E2F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E09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Das gesamte Schutzkonzept wird schriftlich festgehalten und in regelmäßigem Abstand auf Aktualität, sportpolitische Entwicklungen sowie Umsetzung und Zielgruppenorientierung überprüft. Die Zuständigkeit hierfür, sowie die Abstände sind im Konzept klar geregelt. 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C63E2F" w:rsidRPr="007F296A" w:rsidRDefault="00C63E2F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C63E2F" w:rsidRPr="007F296A" w:rsidRDefault="00C63E2F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C63E2F" w:rsidRPr="007F296A" w:rsidRDefault="00C63E2F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197B81" w:rsidRPr="00A267A1" w:rsidTr="00C63E2F">
        <w:tc>
          <w:tcPr>
            <w:tcW w:w="426" w:type="dxa"/>
            <w:shd w:val="clear" w:color="auto" w:fill="DDD9C3" w:themeFill="background2" w:themeFillShade="E6"/>
          </w:tcPr>
          <w:p w:rsidR="00197B81" w:rsidRDefault="00197B81" w:rsidP="00725CA3">
            <w:pP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551" w:type="dxa"/>
            <w:shd w:val="clear" w:color="auto" w:fill="DDD9C3" w:themeFill="background2" w:themeFillShade="E6"/>
          </w:tcPr>
          <w:p w:rsidR="00197B81" w:rsidRDefault="00197B81" w:rsidP="00725CA3">
            <w:pP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655" w:type="dxa"/>
            <w:shd w:val="clear" w:color="auto" w:fill="DDD9C3" w:themeFill="background2" w:themeFillShade="E6"/>
          </w:tcPr>
          <w:p w:rsidR="00197B81" w:rsidRPr="003E09C9" w:rsidRDefault="00197B81" w:rsidP="00725CA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Es wird aktiv und regelmäßig dazu beigetragen das Thema an die eigenen Mitgliedsorganisationen weiterzutragen. (Z.B. durch Informationsveranstaltungen, Projekte, Beratung, Einführung von Kindeswohl-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Standards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) 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197B81" w:rsidRPr="007F296A" w:rsidRDefault="00197B81" w:rsidP="00962282">
            <w:pPr>
              <w:ind w:left="-108" w:firstLine="403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197B81" w:rsidRPr="007F296A" w:rsidRDefault="00197B81" w:rsidP="00962282">
            <w:pPr>
              <w:ind w:left="175"/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197B81" w:rsidRPr="007F296A" w:rsidRDefault="00197B81" w:rsidP="007F296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</w:tbl>
    <w:p w:rsidR="001F7166" w:rsidRDefault="001F7166" w:rsidP="00B23511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sectPr w:rsidR="001F7166" w:rsidSect="00C63E2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e">
    <w:altName w:val="Calibri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60A6E"/>
    <w:multiLevelType w:val="hybridMultilevel"/>
    <w:tmpl w:val="4ACE400E"/>
    <w:lvl w:ilvl="0" w:tplc="4E7AEF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11"/>
    <w:rsid w:val="00072011"/>
    <w:rsid w:val="0008123A"/>
    <w:rsid w:val="00137A40"/>
    <w:rsid w:val="00197B81"/>
    <w:rsid w:val="001F7166"/>
    <w:rsid w:val="002874CB"/>
    <w:rsid w:val="00365F01"/>
    <w:rsid w:val="003A108F"/>
    <w:rsid w:val="003E09C9"/>
    <w:rsid w:val="00400364"/>
    <w:rsid w:val="004E5C5D"/>
    <w:rsid w:val="00506978"/>
    <w:rsid w:val="00580A29"/>
    <w:rsid w:val="005B50EB"/>
    <w:rsid w:val="005C5C0B"/>
    <w:rsid w:val="005D53E3"/>
    <w:rsid w:val="005E3C0D"/>
    <w:rsid w:val="006C1959"/>
    <w:rsid w:val="006F08D5"/>
    <w:rsid w:val="00733BF5"/>
    <w:rsid w:val="00760875"/>
    <w:rsid w:val="007864C1"/>
    <w:rsid w:val="007F296A"/>
    <w:rsid w:val="00870F31"/>
    <w:rsid w:val="00962282"/>
    <w:rsid w:val="00973858"/>
    <w:rsid w:val="00986C12"/>
    <w:rsid w:val="009E5C9F"/>
    <w:rsid w:val="00A6769F"/>
    <w:rsid w:val="00A93240"/>
    <w:rsid w:val="00B23511"/>
    <w:rsid w:val="00C45C02"/>
    <w:rsid w:val="00C63E2F"/>
    <w:rsid w:val="00C93B59"/>
    <w:rsid w:val="00D213CD"/>
    <w:rsid w:val="00E071B2"/>
    <w:rsid w:val="00F7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30E9"/>
  <w15:docId w15:val="{45214D3E-421D-4C69-A352-97A168A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2351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  <w:qFormat/>
    <w:rsid w:val="0008123A"/>
    <w:rPr>
      <w:rFonts w:cs="Courier New"/>
    </w:rPr>
  </w:style>
  <w:style w:type="character" w:customStyle="1" w:styleId="ListLabel2">
    <w:name w:val="ListLabel 2"/>
    <w:qFormat/>
    <w:rsid w:val="0008123A"/>
    <w:rPr>
      <w:rFonts w:cs="Courier New"/>
    </w:rPr>
  </w:style>
  <w:style w:type="character" w:customStyle="1" w:styleId="ListLabel3">
    <w:name w:val="ListLabel 3"/>
    <w:qFormat/>
    <w:rsid w:val="0008123A"/>
    <w:rPr>
      <w:rFonts w:cs="Courier New"/>
    </w:rPr>
  </w:style>
  <w:style w:type="character" w:customStyle="1" w:styleId="ListLabel4">
    <w:name w:val="ListLabel 4"/>
    <w:qFormat/>
    <w:rsid w:val="0008123A"/>
    <w:rPr>
      <w:rFonts w:ascii="Arial" w:hAnsi="Arial" w:cs="Symbol"/>
      <w:b/>
      <w:sz w:val="20"/>
    </w:rPr>
  </w:style>
  <w:style w:type="character" w:customStyle="1" w:styleId="ListLabel5">
    <w:name w:val="ListLabel 5"/>
    <w:qFormat/>
    <w:rsid w:val="0008123A"/>
    <w:rPr>
      <w:rFonts w:ascii="Arial" w:hAnsi="Arial" w:cs="Symbol"/>
      <w:sz w:val="20"/>
    </w:rPr>
  </w:style>
  <w:style w:type="character" w:customStyle="1" w:styleId="ListLabel6">
    <w:name w:val="ListLabel 6"/>
    <w:qFormat/>
    <w:rsid w:val="0008123A"/>
    <w:rPr>
      <w:rFonts w:ascii="Arial" w:hAnsi="Arial" w:cs="Symbol"/>
      <w:sz w:val="20"/>
    </w:rPr>
  </w:style>
  <w:style w:type="character" w:customStyle="1" w:styleId="ListLabel7">
    <w:name w:val="ListLabel 7"/>
    <w:qFormat/>
    <w:rsid w:val="0008123A"/>
    <w:rPr>
      <w:rFonts w:cs="Courier New"/>
    </w:rPr>
  </w:style>
  <w:style w:type="character" w:customStyle="1" w:styleId="ListLabel8">
    <w:name w:val="ListLabel 8"/>
    <w:qFormat/>
    <w:rsid w:val="0008123A"/>
    <w:rPr>
      <w:rFonts w:cs="Wingdings"/>
    </w:rPr>
  </w:style>
  <w:style w:type="character" w:customStyle="1" w:styleId="ListLabel9">
    <w:name w:val="ListLabel 9"/>
    <w:qFormat/>
    <w:rsid w:val="0008123A"/>
    <w:rPr>
      <w:rFonts w:cs="Symbol"/>
    </w:rPr>
  </w:style>
  <w:style w:type="character" w:customStyle="1" w:styleId="ListLabel10">
    <w:name w:val="ListLabel 10"/>
    <w:qFormat/>
    <w:rsid w:val="0008123A"/>
    <w:rPr>
      <w:rFonts w:cs="Courier New"/>
    </w:rPr>
  </w:style>
  <w:style w:type="character" w:customStyle="1" w:styleId="ListLabel11">
    <w:name w:val="ListLabel 11"/>
    <w:qFormat/>
    <w:rsid w:val="0008123A"/>
    <w:rPr>
      <w:rFonts w:cs="Wingdings"/>
    </w:rPr>
  </w:style>
  <w:style w:type="character" w:customStyle="1" w:styleId="ListLabel12">
    <w:name w:val="ListLabel 12"/>
    <w:qFormat/>
    <w:rsid w:val="0008123A"/>
    <w:rPr>
      <w:rFonts w:cs="Symbol"/>
    </w:rPr>
  </w:style>
  <w:style w:type="character" w:customStyle="1" w:styleId="ListLabel13">
    <w:name w:val="ListLabel 13"/>
    <w:qFormat/>
    <w:rsid w:val="0008123A"/>
    <w:rPr>
      <w:rFonts w:cs="Courier New"/>
    </w:rPr>
  </w:style>
  <w:style w:type="character" w:customStyle="1" w:styleId="ListLabel14">
    <w:name w:val="ListLabel 14"/>
    <w:qFormat/>
    <w:rsid w:val="0008123A"/>
    <w:rPr>
      <w:rFonts w:cs="Wingdings"/>
    </w:rPr>
  </w:style>
  <w:style w:type="paragraph" w:customStyle="1" w:styleId="Heading">
    <w:name w:val="Heading"/>
    <w:basedOn w:val="Standard"/>
    <w:next w:val="Textkrper"/>
    <w:qFormat/>
    <w:rsid w:val="0008123A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8123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8123A"/>
  </w:style>
  <w:style w:type="paragraph" w:customStyle="1" w:styleId="Index">
    <w:name w:val="Index"/>
    <w:basedOn w:val="Standard"/>
    <w:qFormat/>
    <w:rsid w:val="0008123A"/>
    <w:pPr>
      <w:suppressLineNumbers/>
    </w:pPr>
  </w:style>
  <w:style w:type="paragraph" w:customStyle="1" w:styleId="TN-Liste">
    <w:name w:val="TN-Liste"/>
    <w:basedOn w:val="Standard"/>
    <w:qFormat/>
    <w:rsid w:val="0008123A"/>
    <w:pPr>
      <w:tabs>
        <w:tab w:val="left" w:pos="567"/>
        <w:tab w:val="left" w:pos="2835"/>
        <w:tab w:val="left" w:pos="6237"/>
        <w:tab w:val="left" w:pos="7088"/>
        <w:tab w:val="left" w:pos="9923"/>
        <w:tab w:val="left" w:pos="11410"/>
        <w:tab w:val="left" w:pos="14711"/>
      </w:tabs>
      <w:spacing w:line="480" w:lineRule="auto"/>
    </w:pPr>
    <w:rPr>
      <w:sz w:val="20"/>
    </w:rPr>
  </w:style>
  <w:style w:type="paragraph" w:customStyle="1" w:styleId="UeberschriftSJH">
    <w:name w:val="Ueberschrift SJH"/>
    <w:basedOn w:val="Standard"/>
    <w:qFormat/>
    <w:rsid w:val="0008123A"/>
    <w:pPr>
      <w:spacing w:line="360" w:lineRule="auto"/>
      <w:jc w:val="center"/>
    </w:pPr>
    <w:rPr>
      <w:b/>
      <w:sz w:val="32"/>
    </w:rPr>
  </w:style>
  <w:style w:type="paragraph" w:customStyle="1" w:styleId="FrameContents">
    <w:name w:val="Frame Contents"/>
    <w:basedOn w:val="Standard"/>
    <w:qFormat/>
    <w:rsid w:val="0008123A"/>
  </w:style>
  <w:style w:type="paragraph" w:styleId="Beschriftung">
    <w:name w:val="caption"/>
    <w:basedOn w:val="Standard"/>
    <w:qFormat/>
    <w:rsid w:val="0008123A"/>
    <w:pPr>
      <w:suppressLineNumbers/>
      <w:spacing w:before="120" w:after="120"/>
    </w:pPr>
    <w:rPr>
      <w:i/>
      <w:iCs/>
      <w:szCs w:val="24"/>
    </w:rPr>
  </w:style>
  <w:style w:type="character" w:styleId="Seitenzahl">
    <w:name w:val="page number"/>
    <w:basedOn w:val="Absatz-Standardschriftart"/>
    <w:qFormat/>
    <w:rsid w:val="0008123A"/>
  </w:style>
  <w:style w:type="paragraph" w:styleId="Textkrper2">
    <w:name w:val="Body Text 2"/>
    <w:basedOn w:val="Standard"/>
    <w:link w:val="Textkrper2Zchn"/>
    <w:qFormat/>
    <w:rsid w:val="0008123A"/>
    <w:rPr>
      <w:spacing w:val="10"/>
      <w:sz w:val="16"/>
    </w:rPr>
  </w:style>
  <w:style w:type="character" w:customStyle="1" w:styleId="Textkrper2Zchn">
    <w:name w:val="Textkörper 2 Zchn"/>
    <w:basedOn w:val="Absatz-Standardschriftart"/>
    <w:link w:val="Textkrper2"/>
    <w:rsid w:val="0008123A"/>
    <w:rPr>
      <w:rFonts w:ascii="Office" w:hAnsi="Office"/>
      <w:color w:val="00000A"/>
      <w:spacing w:val="10"/>
      <w:sz w:val="16"/>
    </w:rPr>
  </w:style>
  <w:style w:type="paragraph" w:styleId="Sprechblasentext">
    <w:name w:val="Balloon Text"/>
    <w:basedOn w:val="Standard"/>
    <w:link w:val="SprechblasentextZchn"/>
    <w:semiHidden/>
    <w:qFormat/>
    <w:rsid w:val="0008123A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8123A"/>
    <w:rPr>
      <w:rFonts w:ascii="Tahoma" w:hAnsi="Tahoma"/>
      <w:color w:val="00000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23511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B235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B23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bsatz-Standardschriftart"/>
    <w:rsid w:val="0019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1BD2F-C28B-4A62-A326-C376851F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Zähr, Stefan</dc:creator>
  <cp:lastModifiedBy>Stender, Anna</cp:lastModifiedBy>
  <cp:revision>8</cp:revision>
  <dcterms:created xsi:type="dcterms:W3CDTF">2022-06-14T13:48:00Z</dcterms:created>
  <dcterms:modified xsi:type="dcterms:W3CDTF">2023-01-25T15:21:00Z</dcterms:modified>
</cp:coreProperties>
</file>